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Configuration/interface utilisateur : (via HCU ou PC)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Application d'interface utilisateur PC : (Windows XP/Vista)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Plusieurs langues de fonctionnement : (anglais, allemand, espagnol, français, italien, portugais, néerlandais, polonais, russe)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Diagnostic complet du système, y compris la fonction de journalisation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Fréquence d'impulsion variable : (50 à 25 000 Hz)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Mémoire de stockage (MMC) : (256 Mo)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Protection par mot de passe : (3 niveaux de protection)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Génération de caractères double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galvo</w:t>
      </w:r>
      <w:proofErr w:type="spellEnd"/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Volet de sécurité automatique</w:t>
      </w:r>
    </w:p>
    <w:p w:rsidR="007D0A00" w:rsidRPr="007D0A00" w:rsidRDefault="007D0A00" w:rsidP="007D0A00">
      <w:pPr>
        <w:shd w:val="clear" w:color="auto" w:fill="EEEEEE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br/>
      </w:r>
      <w:r w:rsidRPr="007D0A0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fr-FR"/>
        </w:rPr>
        <w:t>Caractéristiques physiques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Matériau : (couvercles en acier inoxydable, châssis en aluminium anodisé)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Classement IP - Unité de marquage/unité d'alimentation : (IP 54 ou IP 65)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Poids - Unité de marquage/fourniture : (unité 21,4 kg/12 kg)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Longueur du conduit : (3 m - standard, 5 m en option)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Options de tête : (spot standard SHC60, petit spot SHC100, spot micro SHC120)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Kits de montage de tête : (BEU -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Beam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Extension Unit, BTU -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Beam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Turning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Unit, straight shooter)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Refroidissement Norme IP 54 : (Refroidi par air)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Option kit refroidissement IP 65 : (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Blower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Unit - voir ci-dessous)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Tension/fréquence d'alimentation : (plage de sélection automatique de 100 à 240 V)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Consommation électrique maximale : (0,7 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kVA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)</w:t>
      </w:r>
    </w:p>
    <w:p w:rsidR="007D0A00" w:rsidRPr="007D0A00" w:rsidRDefault="007D0A00" w:rsidP="007D0A00">
      <w:pPr>
        <w:shd w:val="clear" w:color="auto" w:fill="EEEEEE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br/>
      </w:r>
      <w:r w:rsidRPr="007D0A0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fr-FR"/>
        </w:rPr>
        <w:t>Unité de ventilation externe (option IP65)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Souffleur 230 V : (SLAD350 – AV/D – 230 V)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Souffleur 110 V : (SLAD350 – AV/D – 110 V)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Tension/fréquence d'alimentation : (plage de sélection automatique de 115 à 230 V)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Capacité de débit d'air : (400m </w:t>
      </w:r>
      <w:r w:rsidRPr="007D0A00">
        <w:rPr>
          <w:rFonts w:ascii="Arial" w:eastAsia="Times New Roman" w:hAnsi="Arial" w:cs="Arial"/>
          <w:color w:val="333333"/>
          <w:sz w:val="19"/>
          <w:szCs w:val="19"/>
          <w:bdr w:val="none" w:sz="0" w:space="0" w:color="auto" w:frame="1"/>
          <w:vertAlign w:val="superscript"/>
          <w:lang w:eastAsia="fr-FR"/>
        </w:rPr>
        <w:t>3</w:t>
      </w: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 /h)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Température ambiante : (+5°C à +40°C)</w:t>
      </w:r>
    </w:p>
    <w:p w:rsidR="007D0A00" w:rsidRPr="007D0A00" w:rsidRDefault="007D0A00" w:rsidP="007D0A00">
      <w:pPr>
        <w:numPr>
          <w:ilvl w:val="0"/>
          <w:numId w:val="1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Poids : (15 kg)</w:t>
      </w:r>
    </w:p>
    <w:p w:rsidR="003B6BAE" w:rsidRDefault="003B6BAE"/>
    <w:p w:rsidR="007D0A00" w:rsidRDefault="007D0A00"/>
    <w:p w:rsidR="007D0A00" w:rsidRDefault="007D0A00"/>
    <w:p w:rsidR="007D0A00" w:rsidRDefault="007D0A00"/>
    <w:p w:rsidR="007D0A00" w:rsidRDefault="007D0A00"/>
    <w:p w:rsidR="007D0A00" w:rsidRDefault="007D0A00"/>
    <w:p w:rsidR="007D0A00" w:rsidRDefault="007D0A00"/>
    <w:p w:rsidR="007D0A00" w:rsidRDefault="007D0A00"/>
    <w:p w:rsidR="007D0A00" w:rsidRDefault="007D0A00">
      <w:bookmarkStart w:id="0" w:name="_GoBack"/>
    </w:p>
    <w:bookmarkEnd w:id="0"/>
    <w:p w:rsidR="007D0A00" w:rsidRDefault="007D0A00"/>
    <w:p w:rsidR="007D0A00" w:rsidRDefault="007D0A00"/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lastRenderedPageBreak/>
        <w:t>Type de caractère : (Polices vectorielles)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Polices disponibles : (9 polices vectorielles système, polices OTF, TTF, PFA, PFB et SVG, polices personnalisées en option)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Temps réel avec décalage : (Oui -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hh:mm:ss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Timbre dateur avec décalage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Date julienne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Formats de date et d'heure personnalisés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Code de décalage avec incrément de temps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Incrémenter/décrémenter : (nombre de lots)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Unité de mesure : (impérial et métrique)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Dernier code utilisé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Capacité d'édition et de téléchargement de graphiques : (à l'aide du logiciel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LinxDraw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Contrôle des travaux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Sélection d'emploi : (256 emplois)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Codes à barres : (BC25, BC25I, BC39, BC39E, BC93, EAN 8, EAN 13, BC128, EAN 128,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Postnet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, SCC14, UPC_A, UPC_E, RSS14TR, RSS14ST, RSS14STO, RSSLIM, RSSEXP)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Codes 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Datamatrix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2D : (ECC000, ECC050, ECC080, ECC100, ECC140, ECC200, ECC PLAIN, QR)</w:t>
      </w:r>
    </w:p>
    <w:p w:rsidR="007D0A00" w:rsidRPr="007D0A00" w:rsidRDefault="007D0A00" w:rsidP="007D0A00">
      <w:pPr>
        <w:numPr>
          <w:ilvl w:val="0"/>
          <w:numId w:val="2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Texte circulaire</w:t>
      </w:r>
    </w:p>
    <w:p w:rsidR="007D0A00" w:rsidRDefault="007D0A00"/>
    <w:p w:rsidR="007D0A00" w:rsidRDefault="007D0A00"/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Ports d'interface : (1 détecteur, 1 encodeur, 1 RS232 - option ; 1 port Ethernet RJ45 externe, 1 port Ethernet RJ45 interne - option)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Interface informatique : (Ethernet)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Sélection d'emploi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Bonne note de sortie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Mauvaise note de sortie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Télécommande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Mise à jour à distance : (RS232)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Démarrage automatique</w:t>
      </w:r>
    </w:p>
    <w:p w:rsidR="007D0A00" w:rsidRPr="007D0A00" w:rsidRDefault="007D0A00" w:rsidP="007D0A00">
      <w:pPr>
        <w:shd w:val="clear" w:color="auto" w:fill="EEEEEE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br/>
      </w:r>
      <w:r w:rsidRPr="007D0A00">
        <w:rPr>
          <w:rFonts w:ascii="inherit" w:eastAsia="Times New Roman" w:hAnsi="inherit" w:cs="Arial"/>
          <w:b/>
          <w:bCs/>
          <w:color w:val="333333"/>
          <w:sz w:val="19"/>
          <w:szCs w:val="19"/>
          <w:bdr w:val="none" w:sz="0" w:space="0" w:color="auto" w:frame="1"/>
          <w:lang w:eastAsia="fr-FR"/>
        </w:rPr>
        <w:t>Détails laser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Type de laser : (CO 2 excité RF scellé)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Max. sortie laser-10.6μm: (30W)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Durée de vie moyenne : (45 000 heures)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Longueur d'onde : (10,6 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μm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 xml:space="preserve"> ou 9,3 </w:t>
      </w:r>
      <w:proofErr w:type="spellStart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μm</w:t>
      </w:r>
      <w:proofErr w:type="spellEnd"/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)</w:t>
      </w:r>
    </w:p>
    <w:p w:rsidR="007D0A00" w:rsidRPr="007D0A00" w:rsidRDefault="007D0A00" w:rsidP="007D0A00">
      <w:pPr>
        <w:numPr>
          <w:ilvl w:val="0"/>
          <w:numId w:val="3"/>
        </w:numPr>
        <w:shd w:val="clear" w:color="auto" w:fill="EEEEEE"/>
        <w:spacing w:after="0" w:line="288" w:lineRule="atLeast"/>
        <w:ind w:left="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7D0A00">
        <w:rPr>
          <w:rFonts w:ascii="Arial" w:eastAsia="Times New Roman" w:hAnsi="Arial" w:cs="Arial"/>
          <w:color w:val="333333"/>
          <w:sz w:val="19"/>
          <w:szCs w:val="19"/>
          <w:lang w:eastAsia="fr-FR"/>
        </w:rPr>
        <w:t>Garantie tube laser : (2 ans)</w:t>
      </w:r>
    </w:p>
    <w:p w:rsidR="007D0A00" w:rsidRDefault="007D0A00"/>
    <w:sectPr w:rsidR="007D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6D0F"/>
    <w:multiLevelType w:val="multilevel"/>
    <w:tmpl w:val="5C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A5F55"/>
    <w:multiLevelType w:val="multilevel"/>
    <w:tmpl w:val="270A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063C0"/>
    <w:multiLevelType w:val="multilevel"/>
    <w:tmpl w:val="F27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00"/>
    <w:rsid w:val="003B6BAE"/>
    <w:rsid w:val="007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D0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D0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- MATCO FRANCE</dc:creator>
  <cp:lastModifiedBy>Julien - MATCO FRANCE</cp:lastModifiedBy>
  <cp:revision>1</cp:revision>
  <cp:lastPrinted>2023-03-28T07:49:00Z</cp:lastPrinted>
  <dcterms:created xsi:type="dcterms:W3CDTF">2023-03-28T07:48:00Z</dcterms:created>
  <dcterms:modified xsi:type="dcterms:W3CDTF">2023-03-28T07:50:00Z</dcterms:modified>
</cp:coreProperties>
</file>